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7CDA" w14:textId="77777777" w:rsidR="00534A27" w:rsidRDefault="00534A27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7FDA116" w14:textId="42470278" w:rsidR="00EA05F1" w:rsidRPr="00EA6C21" w:rsidRDefault="00222627">
      <w:p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GUIDE TO LEGAL FOUNDATIONS FOR DISABILITY INCLUSIVE EMPLOYMENT</w:t>
      </w:r>
      <w:r w:rsidR="00186C86" w:rsidRPr="00EA6C2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34C9B" w:rsidRPr="00EA6C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523FF768" w14:textId="67672849" w:rsidR="00B00CF3" w:rsidRPr="00EA6C21" w:rsidRDefault="00683746">
      <w:p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sz w:val="24"/>
          <w:szCs w:val="24"/>
        </w:rPr>
        <w:t xml:space="preserve">Federal law </w:t>
      </w:r>
      <w:r w:rsidR="009C7723" w:rsidRPr="00EA6C21">
        <w:rPr>
          <w:rFonts w:ascii="Times New Roman" w:hAnsi="Times New Roman" w:cs="Times New Roman"/>
          <w:sz w:val="24"/>
          <w:szCs w:val="24"/>
        </w:rPr>
        <w:t>protects from discrimination</w:t>
      </w:r>
      <w:r w:rsidR="00092900" w:rsidRPr="00EA6C21">
        <w:rPr>
          <w:rFonts w:ascii="Times New Roman" w:hAnsi="Times New Roman" w:cs="Times New Roman"/>
          <w:sz w:val="24"/>
          <w:szCs w:val="24"/>
        </w:rPr>
        <w:t>, and</w:t>
      </w:r>
      <w:r w:rsidR="00A9083E" w:rsidRPr="00EA6C21">
        <w:rPr>
          <w:rFonts w:ascii="Times New Roman" w:hAnsi="Times New Roman" w:cs="Times New Roman"/>
          <w:sz w:val="24"/>
          <w:szCs w:val="24"/>
        </w:rPr>
        <w:t xml:space="preserve"> even</w:t>
      </w:r>
      <w:r w:rsidR="00092900" w:rsidRPr="00EA6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E3B" w:rsidRPr="00EA6C21">
        <w:rPr>
          <w:rFonts w:ascii="Times New Roman" w:hAnsi="Times New Roman" w:cs="Times New Roman"/>
          <w:sz w:val="24"/>
          <w:szCs w:val="24"/>
        </w:rPr>
        <w:t>allows for</w:t>
      </w:r>
      <w:proofErr w:type="gramEnd"/>
      <w:r w:rsidR="00944E3B" w:rsidRPr="00EA6C21">
        <w:rPr>
          <w:rFonts w:ascii="Times New Roman" w:hAnsi="Times New Roman" w:cs="Times New Roman"/>
          <w:sz w:val="24"/>
          <w:szCs w:val="24"/>
        </w:rPr>
        <w:t xml:space="preserve"> favorable treatment of</w:t>
      </w:r>
      <w:r w:rsidR="00092900" w:rsidRPr="00EA6C21">
        <w:rPr>
          <w:rFonts w:ascii="Times New Roman" w:hAnsi="Times New Roman" w:cs="Times New Roman"/>
          <w:sz w:val="24"/>
          <w:szCs w:val="24"/>
        </w:rPr>
        <w:t>,</w:t>
      </w:r>
      <w:r w:rsidR="00944E3B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="00E4691E" w:rsidRPr="00EA6C21">
        <w:rPr>
          <w:rFonts w:ascii="Times New Roman" w:hAnsi="Times New Roman" w:cs="Times New Roman"/>
          <w:sz w:val="24"/>
          <w:szCs w:val="24"/>
        </w:rPr>
        <w:t>individuals</w:t>
      </w:r>
      <w:r w:rsidR="00944E3B" w:rsidRPr="00EA6C21">
        <w:rPr>
          <w:rFonts w:ascii="Times New Roman" w:hAnsi="Times New Roman" w:cs="Times New Roman"/>
          <w:sz w:val="24"/>
          <w:szCs w:val="24"/>
        </w:rPr>
        <w:t xml:space="preserve"> with disabilities in the context of </w:t>
      </w:r>
      <w:r w:rsidR="00094128" w:rsidRPr="00EA6C21">
        <w:rPr>
          <w:rFonts w:ascii="Times New Roman" w:hAnsi="Times New Roman" w:cs="Times New Roman"/>
          <w:sz w:val="24"/>
          <w:szCs w:val="24"/>
        </w:rPr>
        <w:t>employment</w:t>
      </w:r>
      <w:r w:rsidR="00F6433B" w:rsidRPr="00EA6C21">
        <w:rPr>
          <w:rFonts w:ascii="Times New Roman" w:hAnsi="Times New Roman" w:cs="Times New Roman"/>
          <w:sz w:val="24"/>
          <w:szCs w:val="24"/>
        </w:rPr>
        <w:t xml:space="preserve">, </w:t>
      </w:r>
      <w:r w:rsidR="00133168" w:rsidRPr="00EA6C21">
        <w:rPr>
          <w:rFonts w:ascii="Times New Roman" w:hAnsi="Times New Roman" w:cs="Times New Roman"/>
          <w:sz w:val="24"/>
          <w:szCs w:val="24"/>
        </w:rPr>
        <w:t>across multiple sectors</w:t>
      </w:r>
      <w:r w:rsidR="00094128" w:rsidRPr="00EA6C21">
        <w:rPr>
          <w:rFonts w:ascii="Times New Roman" w:hAnsi="Times New Roman" w:cs="Times New Roman"/>
          <w:sz w:val="24"/>
          <w:szCs w:val="24"/>
        </w:rPr>
        <w:t xml:space="preserve">.  </w:t>
      </w:r>
      <w:r w:rsidR="00B00CF3" w:rsidRPr="00EA6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5E65C" w14:textId="273ABF9B" w:rsidR="00E1268E" w:rsidRPr="00EA6C21" w:rsidRDefault="00384F01">
      <w:p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sz w:val="24"/>
          <w:szCs w:val="24"/>
        </w:rPr>
        <w:t>This is reflected in multiple federal statutes</w:t>
      </w:r>
      <w:r w:rsidR="00E56652" w:rsidRPr="00EA6C21">
        <w:rPr>
          <w:rFonts w:ascii="Times New Roman" w:hAnsi="Times New Roman" w:cs="Times New Roman"/>
          <w:sz w:val="24"/>
          <w:szCs w:val="24"/>
        </w:rPr>
        <w:t xml:space="preserve">, listed below, </w:t>
      </w:r>
      <w:r w:rsidR="00E86D52" w:rsidRPr="00EA6C21">
        <w:rPr>
          <w:rFonts w:ascii="Times New Roman" w:hAnsi="Times New Roman" w:cs="Times New Roman"/>
          <w:sz w:val="24"/>
          <w:szCs w:val="24"/>
        </w:rPr>
        <w:t xml:space="preserve">enforced by various federal agencies, </w:t>
      </w:r>
      <w:r w:rsidR="00BA43C6" w:rsidRPr="00EA6C21">
        <w:rPr>
          <w:rFonts w:ascii="Times New Roman" w:hAnsi="Times New Roman" w:cs="Times New Roman"/>
          <w:i/>
          <w:iCs/>
          <w:sz w:val="24"/>
          <w:szCs w:val="24"/>
        </w:rPr>
        <w:t>e.g.</w:t>
      </w:r>
      <w:r w:rsidR="00BA43C6" w:rsidRPr="00EA6C21">
        <w:rPr>
          <w:rFonts w:ascii="Times New Roman" w:hAnsi="Times New Roman" w:cs="Times New Roman"/>
          <w:sz w:val="24"/>
          <w:szCs w:val="24"/>
        </w:rPr>
        <w:t xml:space="preserve">, </w:t>
      </w:r>
      <w:r w:rsidR="00E86D52" w:rsidRPr="00EA6C21">
        <w:rPr>
          <w:rFonts w:ascii="Times New Roman" w:hAnsi="Times New Roman" w:cs="Times New Roman"/>
          <w:sz w:val="24"/>
          <w:szCs w:val="24"/>
        </w:rPr>
        <w:t>the Equal Employment Opportunity Commission (EEOC</w:t>
      </w:r>
      <w:r w:rsidR="007009A5" w:rsidRPr="00EA6C21">
        <w:rPr>
          <w:rFonts w:ascii="Times New Roman" w:hAnsi="Times New Roman" w:cs="Times New Roman"/>
          <w:sz w:val="24"/>
          <w:szCs w:val="24"/>
        </w:rPr>
        <w:t>)</w:t>
      </w:r>
      <w:r w:rsidR="00664BF7" w:rsidRPr="00EA6C21">
        <w:rPr>
          <w:rFonts w:ascii="Times New Roman" w:hAnsi="Times New Roman" w:cs="Times New Roman"/>
          <w:sz w:val="24"/>
          <w:szCs w:val="24"/>
        </w:rPr>
        <w:t xml:space="preserve"> and</w:t>
      </w:r>
      <w:r w:rsidR="00E86D52" w:rsidRPr="00EA6C21">
        <w:rPr>
          <w:rFonts w:ascii="Times New Roman" w:hAnsi="Times New Roman" w:cs="Times New Roman"/>
          <w:sz w:val="24"/>
          <w:szCs w:val="24"/>
        </w:rPr>
        <w:t xml:space="preserve"> the Office of </w:t>
      </w:r>
      <w:r w:rsidR="00873FF4" w:rsidRPr="00EA6C21">
        <w:rPr>
          <w:rFonts w:ascii="Times New Roman" w:hAnsi="Times New Roman" w:cs="Times New Roman"/>
          <w:sz w:val="24"/>
          <w:szCs w:val="24"/>
        </w:rPr>
        <w:t xml:space="preserve">Federal </w:t>
      </w:r>
      <w:r w:rsidR="00E86D52" w:rsidRPr="00EA6C21">
        <w:rPr>
          <w:rFonts w:ascii="Times New Roman" w:hAnsi="Times New Roman" w:cs="Times New Roman"/>
          <w:sz w:val="24"/>
          <w:szCs w:val="24"/>
        </w:rPr>
        <w:t>Contract Compliance Programs (OFC</w:t>
      </w:r>
      <w:r w:rsidR="00873FF4" w:rsidRPr="00EA6C21">
        <w:rPr>
          <w:rFonts w:ascii="Times New Roman" w:hAnsi="Times New Roman" w:cs="Times New Roman"/>
          <w:sz w:val="24"/>
          <w:szCs w:val="24"/>
        </w:rPr>
        <w:t>CP)</w:t>
      </w:r>
      <w:r w:rsidR="00732E4B" w:rsidRPr="00EA6C21">
        <w:rPr>
          <w:rFonts w:ascii="Times New Roman" w:hAnsi="Times New Roman" w:cs="Times New Roman"/>
          <w:sz w:val="24"/>
          <w:szCs w:val="24"/>
        </w:rPr>
        <w:t>.</w:t>
      </w:r>
      <w:r w:rsidR="009A69D8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="00732E4B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="0028666A" w:rsidRPr="00EA6C21">
        <w:rPr>
          <w:rFonts w:ascii="Times New Roman" w:hAnsi="Times New Roman" w:cs="Times New Roman"/>
          <w:sz w:val="24"/>
          <w:szCs w:val="24"/>
        </w:rPr>
        <w:t>(</w:t>
      </w:r>
      <w:r w:rsidR="00D16344" w:rsidRPr="00EA6C21">
        <w:rPr>
          <w:rFonts w:ascii="Times New Roman" w:hAnsi="Times New Roman" w:cs="Times New Roman"/>
          <w:i/>
          <w:iCs/>
          <w:sz w:val="24"/>
          <w:szCs w:val="24"/>
          <w:u w:val="single"/>
        </w:rPr>
        <w:t>NOTE</w:t>
      </w:r>
      <w:r w:rsidR="00D16344" w:rsidRPr="00EA6C21">
        <w:rPr>
          <w:rFonts w:ascii="Times New Roman" w:hAnsi="Times New Roman" w:cs="Times New Roman"/>
          <w:sz w:val="24"/>
          <w:szCs w:val="24"/>
        </w:rPr>
        <w:t>:</w:t>
      </w:r>
      <w:r w:rsidR="00732E4B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="00D16344" w:rsidRPr="00EA6C21">
        <w:rPr>
          <w:rFonts w:ascii="Times New Roman" w:hAnsi="Times New Roman" w:cs="Times New Roman"/>
          <w:sz w:val="24"/>
          <w:szCs w:val="24"/>
        </w:rPr>
        <w:t>I</w:t>
      </w:r>
      <w:r w:rsidR="00E4691E" w:rsidRPr="00EA6C21">
        <w:rPr>
          <w:rFonts w:ascii="Times New Roman" w:hAnsi="Times New Roman" w:cs="Times New Roman"/>
          <w:sz w:val="24"/>
          <w:szCs w:val="24"/>
        </w:rPr>
        <w:t>ndividuals</w:t>
      </w:r>
      <w:r w:rsidR="007009A5" w:rsidRPr="00EA6C21">
        <w:rPr>
          <w:rFonts w:ascii="Times New Roman" w:hAnsi="Times New Roman" w:cs="Times New Roman"/>
          <w:sz w:val="24"/>
          <w:szCs w:val="24"/>
        </w:rPr>
        <w:t xml:space="preserve"> with disabilities are </w:t>
      </w:r>
      <w:r w:rsidR="007009A5" w:rsidRPr="00EA6C21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="007009A5" w:rsidRPr="00EA6C21">
        <w:rPr>
          <w:rFonts w:ascii="Times New Roman" w:hAnsi="Times New Roman" w:cs="Times New Roman"/>
          <w:sz w:val="24"/>
          <w:szCs w:val="24"/>
        </w:rPr>
        <w:t xml:space="preserve"> protected under</w:t>
      </w:r>
      <w:r w:rsidR="00F5741E" w:rsidRPr="00EA6C21">
        <w:rPr>
          <w:rFonts w:ascii="Times New Roman" w:hAnsi="Times New Roman" w:cs="Times New Roman"/>
          <w:sz w:val="24"/>
          <w:szCs w:val="24"/>
        </w:rPr>
        <w:t xml:space="preserve"> Title VII of the Civil Rights Act of 1964</w:t>
      </w:r>
      <w:r w:rsidR="0028666A" w:rsidRPr="00EA6C21">
        <w:rPr>
          <w:rFonts w:ascii="Times New Roman" w:hAnsi="Times New Roman" w:cs="Times New Roman"/>
          <w:sz w:val="24"/>
          <w:szCs w:val="24"/>
        </w:rPr>
        <w:t>)</w:t>
      </w:r>
      <w:r w:rsidR="00F5741E" w:rsidRPr="00EA6C2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A4C547" w14:textId="1A9634D6" w:rsidR="00FA76DF" w:rsidRPr="00EA6C21" w:rsidRDefault="006772FE" w:rsidP="00FA76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b/>
          <w:bCs/>
          <w:sz w:val="24"/>
          <w:szCs w:val="24"/>
        </w:rPr>
        <w:t>Americans with Disabilities Act (ADA)</w:t>
      </w:r>
      <w:r w:rsidR="00BA43C6" w:rsidRPr="00EA6C21">
        <w:rPr>
          <w:rFonts w:ascii="Times New Roman" w:hAnsi="Times New Roman" w:cs="Times New Roman"/>
          <w:sz w:val="24"/>
          <w:szCs w:val="24"/>
        </w:rPr>
        <w:t>,</w:t>
      </w:r>
      <w:r w:rsidR="0029750D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="00024A06" w:rsidRPr="00EA6C21">
        <w:rPr>
          <w:rFonts w:ascii="Times New Roman" w:hAnsi="Times New Roman" w:cs="Times New Roman"/>
          <w:b/>
          <w:bCs/>
          <w:sz w:val="24"/>
          <w:szCs w:val="24"/>
        </w:rPr>
        <w:t>Title I</w:t>
      </w:r>
      <w:r w:rsidR="00024A06" w:rsidRPr="00EA6C21">
        <w:rPr>
          <w:rFonts w:ascii="Times New Roman" w:hAnsi="Times New Roman" w:cs="Times New Roman"/>
          <w:sz w:val="24"/>
          <w:szCs w:val="24"/>
        </w:rPr>
        <w:t xml:space="preserve">, </w:t>
      </w:r>
      <w:r w:rsidRPr="00EA6C21">
        <w:rPr>
          <w:rFonts w:ascii="Times New Roman" w:hAnsi="Times New Roman" w:cs="Times New Roman"/>
          <w:sz w:val="24"/>
          <w:szCs w:val="24"/>
        </w:rPr>
        <w:t>prohibits covered employers from discriminating against people with disabilities in all employment-related activities, including hiring, pay, benefits, firing and promotions</w:t>
      </w:r>
      <w:r w:rsidR="00637DBA" w:rsidRPr="00EA6C21">
        <w:rPr>
          <w:rFonts w:ascii="Times New Roman" w:hAnsi="Times New Roman" w:cs="Times New Roman"/>
          <w:sz w:val="24"/>
          <w:szCs w:val="24"/>
        </w:rPr>
        <w:t>.  E</w:t>
      </w:r>
      <w:r w:rsidR="00533B54" w:rsidRPr="00EA6C21">
        <w:rPr>
          <w:rFonts w:ascii="Times New Roman" w:hAnsi="Times New Roman" w:cs="Times New Roman"/>
          <w:sz w:val="24"/>
          <w:szCs w:val="24"/>
        </w:rPr>
        <w:t>nforced by the EEOC</w:t>
      </w:r>
      <w:r w:rsidRPr="00EA6C21">
        <w:rPr>
          <w:rFonts w:ascii="Times New Roman" w:hAnsi="Times New Roman" w:cs="Times New Roman"/>
          <w:sz w:val="24"/>
          <w:szCs w:val="24"/>
        </w:rPr>
        <w:t>.</w:t>
      </w:r>
      <w:r w:rsidR="00533B54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="0029750D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="00C24FED" w:rsidRPr="00EA6C21">
        <w:rPr>
          <w:rFonts w:ascii="Times New Roman" w:hAnsi="Times New Roman" w:cs="Times New Roman"/>
          <w:sz w:val="24"/>
          <w:szCs w:val="24"/>
        </w:rPr>
        <w:t xml:space="preserve">There is no </w:t>
      </w:r>
      <w:r w:rsidR="00A40AC9" w:rsidRPr="00EA6C21">
        <w:rPr>
          <w:rFonts w:ascii="Times New Roman" w:hAnsi="Times New Roman" w:cs="Times New Roman"/>
          <w:sz w:val="24"/>
          <w:szCs w:val="24"/>
        </w:rPr>
        <w:t xml:space="preserve">basis for </w:t>
      </w:r>
      <w:r w:rsidR="004A695C" w:rsidRPr="00EA6C21">
        <w:rPr>
          <w:rFonts w:ascii="Times New Roman" w:hAnsi="Times New Roman" w:cs="Times New Roman"/>
          <w:sz w:val="24"/>
          <w:szCs w:val="24"/>
        </w:rPr>
        <w:t>a</w:t>
      </w:r>
      <w:r w:rsidR="0008129E" w:rsidRPr="00EA6C21">
        <w:rPr>
          <w:rFonts w:ascii="Times New Roman" w:hAnsi="Times New Roman" w:cs="Times New Roman"/>
          <w:sz w:val="24"/>
          <w:szCs w:val="24"/>
        </w:rPr>
        <w:t xml:space="preserve"> “reverse discrimination”</w:t>
      </w:r>
      <w:r w:rsidR="00A40AC9" w:rsidRPr="00EA6C21">
        <w:rPr>
          <w:rFonts w:ascii="Times New Roman" w:hAnsi="Times New Roman" w:cs="Times New Roman"/>
          <w:sz w:val="24"/>
          <w:szCs w:val="24"/>
        </w:rPr>
        <w:t xml:space="preserve"> claim under the ADA</w:t>
      </w:r>
      <w:r w:rsidR="001D2380" w:rsidRPr="00EA6C21">
        <w:rPr>
          <w:rFonts w:ascii="Times New Roman" w:hAnsi="Times New Roman" w:cs="Times New Roman"/>
          <w:sz w:val="24"/>
          <w:szCs w:val="24"/>
        </w:rPr>
        <w:t>.  </w:t>
      </w:r>
      <w:r w:rsidR="002F1C60" w:rsidRPr="00EA6C21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="002F1C60" w:rsidRPr="00EA6C21">
        <w:rPr>
          <w:rFonts w:ascii="Times New Roman" w:hAnsi="Times New Roman" w:cs="Times New Roman"/>
          <w:sz w:val="24"/>
          <w:szCs w:val="24"/>
        </w:rPr>
        <w:t>42 U.S.C. § 12201(g)</w:t>
      </w:r>
      <w:r w:rsidR="00782705" w:rsidRPr="00EA6C21">
        <w:rPr>
          <w:rFonts w:ascii="Times New Roman" w:hAnsi="Times New Roman" w:cs="Times New Roman"/>
          <w:sz w:val="24"/>
          <w:szCs w:val="24"/>
        </w:rPr>
        <w:t xml:space="preserve"> (</w:t>
      </w:r>
      <w:r w:rsidR="001D2380" w:rsidRPr="00EA6C21">
        <w:rPr>
          <w:rFonts w:ascii="Times New Roman" w:hAnsi="Times New Roman" w:cs="Times New Roman"/>
          <w:sz w:val="24"/>
          <w:szCs w:val="24"/>
        </w:rPr>
        <w:t>“Nothing in this chapter shall provide the basis for a claim by an individual without a disability that the individual was subject to discrimination because of the individual’s lack of disability.”</w:t>
      </w:r>
      <w:r w:rsidR="002F1C60" w:rsidRPr="00EA6C21">
        <w:rPr>
          <w:rFonts w:ascii="Times New Roman" w:hAnsi="Times New Roman" w:cs="Times New Roman"/>
          <w:sz w:val="24"/>
          <w:szCs w:val="24"/>
        </w:rPr>
        <w:t>).</w:t>
      </w:r>
      <w:r w:rsidR="000F2A3C" w:rsidRPr="005611A1">
        <w:rPr>
          <w:rStyle w:val="FootnoteReference"/>
          <w:rFonts w:ascii="Times New Roman" w:hAnsi="Times New Roman" w:cs="Times New Roman"/>
          <w:sz w:val="20"/>
          <w:szCs w:val="20"/>
        </w:rPr>
        <w:footnoteReference w:id="2"/>
      </w:r>
      <w:r w:rsidR="006D5B75" w:rsidRPr="005611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B8228F" w14:textId="3E34C821" w:rsidR="006772FE" w:rsidRPr="00EA6C21" w:rsidRDefault="006772FE" w:rsidP="007A2F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C21">
        <w:rPr>
          <w:rFonts w:ascii="Times New Roman" w:hAnsi="Times New Roman" w:cs="Times New Roman"/>
          <w:b/>
          <w:bCs/>
          <w:sz w:val="24"/>
          <w:szCs w:val="24"/>
        </w:rPr>
        <w:t>Rehabilitation</w:t>
      </w:r>
      <w:proofErr w:type="gramEnd"/>
      <w:r w:rsidRPr="00EA6C21">
        <w:rPr>
          <w:rFonts w:ascii="Times New Roman" w:hAnsi="Times New Roman" w:cs="Times New Roman"/>
          <w:b/>
          <w:bCs/>
          <w:sz w:val="24"/>
          <w:szCs w:val="24"/>
        </w:rPr>
        <w:t xml:space="preserve"> Act</w:t>
      </w:r>
      <w:r w:rsidRPr="00EA6C21">
        <w:rPr>
          <w:rFonts w:ascii="Times New Roman" w:hAnsi="Times New Roman" w:cs="Times New Roman"/>
          <w:sz w:val="24"/>
          <w:szCs w:val="24"/>
        </w:rPr>
        <w:t xml:space="preserve"> prohibit</w:t>
      </w:r>
      <w:r w:rsidR="002053BB" w:rsidRPr="00EA6C21">
        <w:rPr>
          <w:rFonts w:ascii="Times New Roman" w:hAnsi="Times New Roman" w:cs="Times New Roman"/>
          <w:sz w:val="24"/>
          <w:szCs w:val="24"/>
        </w:rPr>
        <w:t>s</w:t>
      </w:r>
      <w:r w:rsidRPr="00EA6C21">
        <w:rPr>
          <w:rFonts w:ascii="Times New Roman" w:hAnsi="Times New Roman" w:cs="Times New Roman"/>
          <w:sz w:val="24"/>
          <w:szCs w:val="24"/>
        </w:rPr>
        <w:t xml:space="preserve"> discrimination against individuals with disabilities by specific types of employers: federal agencies, employers/businesses contracting with federal agencies and programs receiving federal financial assistance</w:t>
      </w:r>
      <w:r w:rsidR="00AB62E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AB62E4">
        <w:rPr>
          <w:rFonts w:ascii="Times New Roman" w:hAnsi="Times New Roman" w:cs="Times New Roman"/>
          <w:sz w:val="24"/>
          <w:szCs w:val="24"/>
        </w:rPr>
        <w:t xml:space="preserve">In </w:t>
      </w:r>
      <w:r w:rsidR="00554FEC" w:rsidRPr="00EA6C21">
        <w:rPr>
          <w:rFonts w:ascii="Times New Roman" w:hAnsi="Times New Roman" w:cs="Times New Roman"/>
          <w:sz w:val="24"/>
          <w:szCs w:val="24"/>
        </w:rPr>
        <w:t xml:space="preserve">particular, </w:t>
      </w:r>
      <w:r w:rsidRPr="00EA6C21">
        <w:rPr>
          <w:rFonts w:ascii="Times New Roman" w:hAnsi="Times New Roman" w:cs="Times New Roman"/>
          <w:b/>
          <w:bCs/>
          <w:sz w:val="24"/>
          <w:szCs w:val="24"/>
        </w:rPr>
        <w:t>Section</w:t>
      </w:r>
      <w:proofErr w:type="gramEnd"/>
      <w:r w:rsidRPr="00EA6C21">
        <w:rPr>
          <w:rFonts w:ascii="Times New Roman" w:hAnsi="Times New Roman" w:cs="Times New Roman"/>
          <w:b/>
          <w:bCs/>
          <w:sz w:val="24"/>
          <w:szCs w:val="24"/>
        </w:rPr>
        <w:t xml:space="preserve"> 503</w:t>
      </w:r>
      <w:r w:rsidR="00554FEC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Pr="00EA6C21">
        <w:rPr>
          <w:rFonts w:ascii="Times New Roman" w:hAnsi="Times New Roman" w:cs="Times New Roman"/>
          <w:sz w:val="24"/>
          <w:szCs w:val="24"/>
        </w:rPr>
        <w:t xml:space="preserve">prohibits employment discrimination based on disability and requires affirmative action </w:t>
      </w:r>
      <w:r w:rsidR="007A2F9D" w:rsidRPr="00EA6C21">
        <w:rPr>
          <w:rFonts w:ascii="Times New Roman" w:hAnsi="Times New Roman" w:cs="Times New Roman"/>
          <w:sz w:val="24"/>
          <w:szCs w:val="24"/>
        </w:rPr>
        <w:t xml:space="preserve">for </w:t>
      </w:r>
      <w:r w:rsidRPr="00EA6C21">
        <w:rPr>
          <w:rFonts w:ascii="Times New Roman" w:hAnsi="Times New Roman" w:cs="Times New Roman"/>
          <w:sz w:val="24"/>
          <w:szCs w:val="24"/>
        </w:rPr>
        <w:t>people with disabilities by federal contractors or subcontractors</w:t>
      </w:r>
      <w:r w:rsidR="00730A10" w:rsidRPr="00EA6C21">
        <w:rPr>
          <w:rFonts w:ascii="Times New Roman" w:hAnsi="Times New Roman" w:cs="Times New Roman"/>
          <w:sz w:val="24"/>
          <w:szCs w:val="24"/>
        </w:rPr>
        <w:t xml:space="preserve"> and </w:t>
      </w:r>
      <w:r w:rsidR="00C708E8" w:rsidRPr="00EA6C21">
        <w:rPr>
          <w:rFonts w:ascii="Times New Roman" w:hAnsi="Times New Roman" w:cs="Times New Roman"/>
          <w:sz w:val="24"/>
          <w:szCs w:val="24"/>
        </w:rPr>
        <w:t xml:space="preserve">is </w:t>
      </w:r>
      <w:r w:rsidR="0086319A" w:rsidRPr="00EA6C21">
        <w:rPr>
          <w:rFonts w:ascii="Times New Roman" w:hAnsi="Times New Roman" w:cs="Times New Roman"/>
          <w:sz w:val="24"/>
          <w:szCs w:val="24"/>
        </w:rPr>
        <w:t>en</w:t>
      </w:r>
      <w:r w:rsidR="00623E9E" w:rsidRPr="00EA6C21">
        <w:rPr>
          <w:rFonts w:ascii="Times New Roman" w:hAnsi="Times New Roman" w:cs="Times New Roman"/>
          <w:sz w:val="24"/>
          <w:szCs w:val="24"/>
        </w:rPr>
        <w:t>forced by the OFCCP</w:t>
      </w:r>
      <w:r w:rsidR="002C4F48" w:rsidRPr="00EA6C21">
        <w:rPr>
          <w:rFonts w:ascii="Times New Roman" w:hAnsi="Times New Roman" w:cs="Times New Roman"/>
          <w:sz w:val="24"/>
          <w:szCs w:val="24"/>
        </w:rPr>
        <w:t>.</w:t>
      </w:r>
      <w:r w:rsidRPr="00EA6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DFDCD" w14:textId="6E0D0CA2" w:rsidR="00786CD3" w:rsidRPr="00EA6C21" w:rsidRDefault="00667DD0" w:rsidP="00604EC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b/>
          <w:bCs/>
          <w:sz w:val="24"/>
          <w:szCs w:val="24"/>
        </w:rPr>
        <w:t>Vietnam Era Veterans' Readjustment Assistance Act (VEVRAA)</w:t>
      </w:r>
      <w:r w:rsidRPr="00EA6C21">
        <w:rPr>
          <w:rFonts w:ascii="Times New Roman" w:hAnsi="Times New Roman" w:cs="Times New Roman"/>
          <w:sz w:val="24"/>
          <w:szCs w:val="24"/>
        </w:rPr>
        <w:t> </w:t>
      </w:r>
      <w:r w:rsidR="00DA6B5C" w:rsidRPr="00EA6C21">
        <w:rPr>
          <w:rFonts w:ascii="Times New Roman" w:hAnsi="Times New Roman" w:cs="Times New Roman"/>
          <w:sz w:val="24"/>
          <w:szCs w:val="24"/>
        </w:rPr>
        <w:t>requires</w:t>
      </w:r>
      <w:r w:rsidR="00101AAD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Pr="00EA6C21">
        <w:rPr>
          <w:rFonts w:ascii="Times New Roman" w:hAnsi="Times New Roman" w:cs="Times New Roman"/>
          <w:sz w:val="24"/>
          <w:szCs w:val="24"/>
        </w:rPr>
        <w:t>employers that have federal contracts or subcontracts to provide equal employment opportunities for certain veterans with disabilities</w:t>
      </w:r>
      <w:r w:rsidR="00AB62E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AB62E4">
        <w:rPr>
          <w:rFonts w:ascii="Times New Roman" w:hAnsi="Times New Roman" w:cs="Times New Roman"/>
          <w:sz w:val="24"/>
          <w:szCs w:val="24"/>
        </w:rPr>
        <w:t>In</w:t>
      </w:r>
      <w:r w:rsidR="009D3D7D" w:rsidRPr="00EA6C21">
        <w:rPr>
          <w:rFonts w:ascii="Times New Roman" w:hAnsi="Times New Roman" w:cs="Times New Roman"/>
          <w:sz w:val="24"/>
          <w:szCs w:val="24"/>
        </w:rPr>
        <w:t xml:space="preserve"> particular, </w:t>
      </w:r>
      <w:r w:rsidRPr="00EA6C21">
        <w:rPr>
          <w:rFonts w:ascii="Times New Roman" w:hAnsi="Times New Roman" w:cs="Times New Roman"/>
          <w:b/>
          <w:bCs/>
          <w:sz w:val="24"/>
          <w:szCs w:val="24"/>
        </w:rPr>
        <w:t>Section</w:t>
      </w:r>
      <w:proofErr w:type="gramEnd"/>
      <w:r w:rsidRPr="00EA6C21">
        <w:rPr>
          <w:rFonts w:ascii="Times New Roman" w:hAnsi="Times New Roman" w:cs="Times New Roman"/>
          <w:b/>
          <w:bCs/>
          <w:sz w:val="24"/>
          <w:szCs w:val="24"/>
        </w:rPr>
        <w:t xml:space="preserve"> 4212</w:t>
      </w:r>
      <w:r w:rsidRPr="00EA6C21">
        <w:rPr>
          <w:rFonts w:ascii="Times New Roman" w:hAnsi="Times New Roman" w:cs="Times New Roman"/>
          <w:sz w:val="24"/>
          <w:szCs w:val="24"/>
        </w:rPr>
        <w:t> prohibits discrimination against covered veterans with disabilities in the full range of employment activities</w:t>
      </w:r>
      <w:r w:rsidR="009D3D7D" w:rsidRPr="00EA6C21">
        <w:rPr>
          <w:rFonts w:ascii="Times New Roman" w:hAnsi="Times New Roman" w:cs="Times New Roman"/>
          <w:sz w:val="24"/>
          <w:szCs w:val="24"/>
        </w:rPr>
        <w:t xml:space="preserve"> and is</w:t>
      </w:r>
      <w:r w:rsidR="00BD5CF7" w:rsidRPr="00EA6C21">
        <w:rPr>
          <w:rFonts w:ascii="Times New Roman" w:hAnsi="Times New Roman" w:cs="Times New Roman"/>
          <w:sz w:val="24"/>
          <w:szCs w:val="24"/>
        </w:rPr>
        <w:t xml:space="preserve"> e</w:t>
      </w:r>
      <w:r w:rsidR="004042CF" w:rsidRPr="00EA6C21">
        <w:rPr>
          <w:rFonts w:ascii="Times New Roman" w:hAnsi="Times New Roman" w:cs="Times New Roman"/>
          <w:sz w:val="24"/>
          <w:szCs w:val="24"/>
        </w:rPr>
        <w:t>nforced by the OFCCP.</w:t>
      </w:r>
    </w:p>
    <w:p w14:paraId="367F406C" w14:textId="6C1FE9D1" w:rsidR="00090FAA" w:rsidRPr="00EA6C21" w:rsidRDefault="006772FE" w:rsidP="00090F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b/>
          <w:bCs/>
          <w:sz w:val="24"/>
          <w:szCs w:val="24"/>
        </w:rPr>
        <w:t>Workforce Innovation and Opportunity Act (WIOA)</w:t>
      </w:r>
      <w:r w:rsidR="00C055E3" w:rsidRPr="00EA6C21">
        <w:rPr>
          <w:rFonts w:ascii="Times New Roman" w:hAnsi="Times New Roman" w:cs="Times New Roman"/>
          <w:sz w:val="24"/>
          <w:szCs w:val="24"/>
        </w:rPr>
        <w:t>,</w:t>
      </w:r>
      <w:r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Pr="00EA6C21">
        <w:rPr>
          <w:rFonts w:ascii="Times New Roman" w:hAnsi="Times New Roman" w:cs="Times New Roman"/>
          <w:b/>
          <w:bCs/>
          <w:sz w:val="24"/>
          <w:szCs w:val="24"/>
        </w:rPr>
        <w:t>Section 188</w:t>
      </w:r>
      <w:r w:rsidRPr="00EA6C21">
        <w:rPr>
          <w:rFonts w:ascii="Times New Roman" w:hAnsi="Times New Roman" w:cs="Times New Roman"/>
          <w:sz w:val="24"/>
          <w:szCs w:val="24"/>
        </w:rPr>
        <w:t xml:space="preserve"> prohibits discrimination against individuals with disabilities </w:t>
      </w:r>
      <w:r w:rsidR="003678A5">
        <w:rPr>
          <w:rFonts w:ascii="Times New Roman" w:hAnsi="Times New Roman" w:cs="Times New Roman"/>
          <w:sz w:val="24"/>
          <w:szCs w:val="24"/>
        </w:rPr>
        <w:t xml:space="preserve">by those </w:t>
      </w:r>
      <w:r w:rsidRPr="00EA6C21">
        <w:rPr>
          <w:rFonts w:ascii="Times New Roman" w:hAnsi="Times New Roman" w:cs="Times New Roman"/>
          <w:sz w:val="24"/>
          <w:szCs w:val="24"/>
        </w:rPr>
        <w:t xml:space="preserve">who apply for, participate in or are employees of any program or organization that receives federal financial assistance under WIOA </w:t>
      </w:r>
      <w:r w:rsidR="00070FB4" w:rsidRPr="00EA6C21">
        <w:rPr>
          <w:rFonts w:ascii="Times New Roman" w:hAnsi="Times New Roman" w:cs="Times New Roman"/>
          <w:sz w:val="24"/>
          <w:szCs w:val="24"/>
        </w:rPr>
        <w:t>and is e</w:t>
      </w:r>
      <w:r w:rsidR="00BD68BD" w:rsidRPr="00EA6C21">
        <w:rPr>
          <w:rFonts w:ascii="Times New Roman" w:hAnsi="Times New Roman" w:cs="Times New Roman"/>
          <w:sz w:val="24"/>
          <w:szCs w:val="24"/>
        </w:rPr>
        <w:t xml:space="preserve">nforced by </w:t>
      </w:r>
      <w:r w:rsidR="00436761" w:rsidRPr="00EA6C2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D68BD" w:rsidRPr="00EA6C21">
        <w:rPr>
          <w:rFonts w:ascii="Times New Roman" w:hAnsi="Times New Roman" w:cs="Times New Roman"/>
          <w:sz w:val="24"/>
          <w:szCs w:val="24"/>
        </w:rPr>
        <w:t>Civil Right’s</w:t>
      </w:r>
      <w:proofErr w:type="spellEnd"/>
      <w:r w:rsidR="00BD68BD" w:rsidRPr="00EA6C21">
        <w:rPr>
          <w:rFonts w:ascii="Times New Roman" w:hAnsi="Times New Roman" w:cs="Times New Roman"/>
          <w:sz w:val="24"/>
          <w:szCs w:val="24"/>
        </w:rPr>
        <w:t xml:space="preserve"> Center</w:t>
      </w:r>
      <w:r w:rsidR="005B1DEA" w:rsidRPr="00EA6C21">
        <w:rPr>
          <w:rFonts w:ascii="Times New Roman" w:hAnsi="Times New Roman" w:cs="Times New Roman"/>
          <w:sz w:val="24"/>
          <w:szCs w:val="24"/>
        </w:rPr>
        <w:t>, U.S. Department of Labor</w:t>
      </w:r>
      <w:r w:rsidR="00BD68BD" w:rsidRPr="00EA6C2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08CA450" w14:textId="77777777" w:rsidR="004A6DE1" w:rsidRPr="00EA6C21" w:rsidRDefault="00090FAA" w:rsidP="00090FAA">
      <w:p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sz w:val="24"/>
          <w:szCs w:val="24"/>
        </w:rPr>
        <w:t xml:space="preserve">In terms of potential updates to </w:t>
      </w:r>
      <w:r w:rsidR="00CB1139" w:rsidRPr="00EA6C21">
        <w:rPr>
          <w:rFonts w:ascii="Times New Roman" w:hAnsi="Times New Roman" w:cs="Times New Roman"/>
          <w:sz w:val="24"/>
          <w:szCs w:val="24"/>
        </w:rPr>
        <w:t>federal employment law</w:t>
      </w:r>
      <w:r w:rsidR="007D2D12" w:rsidRPr="00EA6C21">
        <w:rPr>
          <w:rFonts w:ascii="Times New Roman" w:hAnsi="Times New Roman" w:cs="Times New Roman"/>
          <w:sz w:val="24"/>
          <w:szCs w:val="24"/>
        </w:rPr>
        <w:t>, where that law is embodied</w:t>
      </w:r>
      <w:r w:rsidR="0030648E" w:rsidRPr="00EA6C21">
        <w:rPr>
          <w:rFonts w:ascii="Times New Roman" w:hAnsi="Times New Roman" w:cs="Times New Roman"/>
          <w:sz w:val="24"/>
          <w:szCs w:val="24"/>
        </w:rPr>
        <w:t xml:space="preserve"> determines how it may be changed in the future.  </w:t>
      </w:r>
    </w:p>
    <w:p w14:paraId="52A31811" w14:textId="349BFD4E" w:rsidR="0046353E" w:rsidRPr="00EA6C21" w:rsidRDefault="004A6DE1" w:rsidP="00F029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Statutes</w:t>
      </w:r>
      <w:r w:rsidRPr="00EA6C21">
        <w:rPr>
          <w:rFonts w:ascii="Times New Roman" w:hAnsi="Times New Roman" w:cs="Times New Roman"/>
          <w:sz w:val="24"/>
          <w:szCs w:val="24"/>
        </w:rPr>
        <w:t xml:space="preserve"> –</w:t>
      </w:r>
      <w:r w:rsidR="007E40CC" w:rsidRPr="00EA6C21">
        <w:rPr>
          <w:rFonts w:ascii="Times New Roman" w:hAnsi="Times New Roman" w:cs="Times New Roman"/>
          <w:sz w:val="24"/>
          <w:szCs w:val="24"/>
        </w:rPr>
        <w:t xml:space="preserve"> </w:t>
      </w:r>
      <w:r w:rsidR="00A65E64" w:rsidRPr="00EA6C21">
        <w:rPr>
          <w:rFonts w:ascii="Times New Roman" w:hAnsi="Times New Roman" w:cs="Times New Roman"/>
          <w:sz w:val="24"/>
          <w:szCs w:val="24"/>
        </w:rPr>
        <w:t xml:space="preserve">only can be changed by Congress </w:t>
      </w:r>
      <w:r w:rsidR="00E82322" w:rsidRPr="00EA6C21">
        <w:rPr>
          <w:rFonts w:ascii="Times New Roman" w:hAnsi="Times New Roman" w:cs="Times New Roman"/>
          <w:sz w:val="24"/>
          <w:szCs w:val="24"/>
        </w:rPr>
        <w:t>passing a new law</w:t>
      </w:r>
      <w:r w:rsidR="00185F38" w:rsidRPr="00EA6C21">
        <w:rPr>
          <w:rFonts w:ascii="Times New Roman" w:hAnsi="Times New Roman" w:cs="Times New Roman"/>
          <w:sz w:val="24"/>
          <w:szCs w:val="24"/>
        </w:rPr>
        <w:t>.</w:t>
      </w:r>
      <w:r w:rsidR="00E36B62" w:rsidRPr="00EA6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B3253" w14:textId="46C57651" w:rsidR="007D36F3" w:rsidRPr="00EA6C21" w:rsidRDefault="007D36F3" w:rsidP="0009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Federal Regulations</w:t>
      </w:r>
      <w:r w:rsidRPr="00EA6C21">
        <w:rPr>
          <w:rFonts w:ascii="Times New Roman" w:hAnsi="Times New Roman" w:cs="Times New Roman"/>
          <w:sz w:val="24"/>
          <w:szCs w:val="24"/>
        </w:rPr>
        <w:t xml:space="preserve"> – </w:t>
      </w:r>
      <w:r w:rsidR="00F0297A" w:rsidRPr="00EA6C21">
        <w:rPr>
          <w:rFonts w:ascii="Times New Roman" w:hAnsi="Times New Roman" w:cs="Times New Roman"/>
          <w:sz w:val="24"/>
          <w:szCs w:val="24"/>
        </w:rPr>
        <w:t xml:space="preserve">only can be </w:t>
      </w:r>
      <w:r w:rsidR="00E82322" w:rsidRPr="00EA6C21">
        <w:rPr>
          <w:rFonts w:ascii="Times New Roman" w:hAnsi="Times New Roman" w:cs="Times New Roman"/>
          <w:sz w:val="24"/>
          <w:szCs w:val="24"/>
        </w:rPr>
        <w:t xml:space="preserve">changed by a new federal regulation, or if overridden </w:t>
      </w:r>
      <w:r w:rsidR="000900F8" w:rsidRPr="00EA6C21">
        <w:rPr>
          <w:rFonts w:ascii="Times New Roman" w:hAnsi="Times New Roman" w:cs="Times New Roman"/>
          <w:sz w:val="24"/>
          <w:szCs w:val="24"/>
        </w:rPr>
        <w:t>by Congress passing a new law</w:t>
      </w:r>
      <w:r w:rsidR="00D20C2A" w:rsidRPr="00EA6C21">
        <w:rPr>
          <w:rFonts w:ascii="Times New Roman" w:hAnsi="Times New Roman" w:cs="Times New Roman"/>
          <w:sz w:val="24"/>
          <w:szCs w:val="24"/>
        </w:rPr>
        <w:t>.</w:t>
      </w:r>
    </w:p>
    <w:p w14:paraId="1C967F2A" w14:textId="061124FB" w:rsidR="00E10A13" w:rsidRPr="00EA6C21" w:rsidRDefault="00453F52" w:rsidP="004A6D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Executive Orders </w:t>
      </w:r>
      <w:r w:rsidRPr="00EA6C21">
        <w:rPr>
          <w:rFonts w:ascii="Times New Roman" w:hAnsi="Times New Roman" w:cs="Times New Roman"/>
          <w:sz w:val="24"/>
          <w:szCs w:val="24"/>
        </w:rPr>
        <w:t xml:space="preserve">– </w:t>
      </w:r>
      <w:r w:rsidR="000900F8" w:rsidRPr="00EA6C21">
        <w:rPr>
          <w:rFonts w:ascii="Times New Roman" w:hAnsi="Times New Roman" w:cs="Times New Roman"/>
          <w:sz w:val="24"/>
          <w:szCs w:val="24"/>
        </w:rPr>
        <w:t xml:space="preserve">only can be changed by a </w:t>
      </w:r>
      <w:r w:rsidR="00815100" w:rsidRPr="00EA6C21">
        <w:rPr>
          <w:rFonts w:ascii="Times New Roman" w:hAnsi="Times New Roman" w:cs="Times New Roman"/>
          <w:sz w:val="24"/>
          <w:szCs w:val="24"/>
        </w:rPr>
        <w:t xml:space="preserve">new executive order or </w:t>
      </w:r>
      <w:r w:rsidR="005611A1">
        <w:rPr>
          <w:rFonts w:ascii="Times New Roman" w:hAnsi="Times New Roman" w:cs="Times New Roman"/>
          <w:sz w:val="24"/>
          <w:szCs w:val="24"/>
        </w:rPr>
        <w:t xml:space="preserve">if </w:t>
      </w:r>
      <w:r w:rsidR="0081680E">
        <w:rPr>
          <w:rFonts w:ascii="Times New Roman" w:hAnsi="Times New Roman" w:cs="Times New Roman"/>
          <w:sz w:val="24"/>
          <w:szCs w:val="24"/>
        </w:rPr>
        <w:t>ove</w:t>
      </w:r>
      <w:r w:rsidR="005611A1">
        <w:rPr>
          <w:rFonts w:ascii="Times New Roman" w:hAnsi="Times New Roman" w:cs="Times New Roman"/>
          <w:sz w:val="24"/>
          <w:szCs w:val="24"/>
        </w:rPr>
        <w:t>r</w:t>
      </w:r>
      <w:r w:rsidR="0081680E">
        <w:rPr>
          <w:rFonts w:ascii="Times New Roman" w:hAnsi="Times New Roman" w:cs="Times New Roman"/>
          <w:sz w:val="24"/>
          <w:szCs w:val="24"/>
        </w:rPr>
        <w:t xml:space="preserve">ridden by </w:t>
      </w:r>
      <w:r w:rsidR="00815100" w:rsidRPr="00EA6C21">
        <w:rPr>
          <w:rFonts w:ascii="Times New Roman" w:hAnsi="Times New Roman" w:cs="Times New Roman"/>
          <w:sz w:val="24"/>
          <w:szCs w:val="24"/>
        </w:rPr>
        <w:t>Congress pass</w:t>
      </w:r>
      <w:r w:rsidR="0081680E">
        <w:rPr>
          <w:rFonts w:ascii="Times New Roman" w:hAnsi="Times New Roman" w:cs="Times New Roman"/>
          <w:sz w:val="24"/>
          <w:szCs w:val="24"/>
        </w:rPr>
        <w:t>ing</w:t>
      </w:r>
      <w:r w:rsidR="00815100" w:rsidRPr="00EA6C21">
        <w:rPr>
          <w:rFonts w:ascii="Times New Roman" w:hAnsi="Times New Roman" w:cs="Times New Roman"/>
          <w:sz w:val="24"/>
          <w:szCs w:val="24"/>
        </w:rPr>
        <w:t xml:space="preserve"> a new law</w:t>
      </w:r>
      <w:r w:rsidR="00311BC5" w:rsidRPr="00EA6C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2E820" w14:textId="5D96F767" w:rsidR="0093362C" w:rsidRPr="00514877" w:rsidRDefault="00040E01" w:rsidP="005148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Court Order</w:t>
      </w:r>
      <w:r w:rsidRPr="00EA6C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6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4D7EF0" w:rsidRPr="00EA6C21">
        <w:rPr>
          <w:rFonts w:ascii="Times New Roman" w:hAnsi="Times New Roman" w:cs="Times New Roman"/>
          <w:sz w:val="24"/>
          <w:szCs w:val="24"/>
        </w:rPr>
        <w:t xml:space="preserve">Regardless of </w:t>
      </w:r>
      <w:r w:rsidR="000628BF" w:rsidRPr="00EA6C21">
        <w:rPr>
          <w:rFonts w:ascii="Times New Roman" w:hAnsi="Times New Roman" w:cs="Times New Roman"/>
          <w:sz w:val="24"/>
          <w:szCs w:val="24"/>
        </w:rPr>
        <w:t xml:space="preserve">the </w:t>
      </w:r>
      <w:r w:rsidR="00AE7CBE" w:rsidRPr="00EA6C21">
        <w:rPr>
          <w:rFonts w:ascii="Times New Roman" w:hAnsi="Times New Roman" w:cs="Times New Roman"/>
          <w:sz w:val="24"/>
          <w:szCs w:val="24"/>
        </w:rPr>
        <w:t xml:space="preserve">congressional or executive origin of federal law, </w:t>
      </w:r>
      <w:r w:rsidR="00850F80" w:rsidRPr="00EA6C21">
        <w:rPr>
          <w:rFonts w:ascii="Times New Roman" w:hAnsi="Times New Roman" w:cs="Times New Roman"/>
          <w:sz w:val="24"/>
          <w:szCs w:val="24"/>
        </w:rPr>
        <w:t>a successful le</w:t>
      </w:r>
      <w:r w:rsidR="00BD2D8A" w:rsidRPr="00EA6C21">
        <w:rPr>
          <w:rFonts w:ascii="Times New Roman" w:hAnsi="Times New Roman" w:cs="Times New Roman"/>
          <w:sz w:val="24"/>
          <w:szCs w:val="24"/>
        </w:rPr>
        <w:t>gal</w:t>
      </w:r>
      <w:r w:rsidR="000628BF" w:rsidRPr="00EA6C21">
        <w:rPr>
          <w:rFonts w:ascii="Times New Roman" w:hAnsi="Times New Roman" w:cs="Times New Roman"/>
          <w:sz w:val="24"/>
          <w:szCs w:val="24"/>
        </w:rPr>
        <w:t xml:space="preserve"> action in court may result in a federal law be stricken down.</w:t>
      </w:r>
    </w:p>
    <w:sectPr w:rsidR="0093362C" w:rsidRPr="00514877" w:rsidSect="000824F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4E77" w14:textId="77777777" w:rsidR="00E40B0D" w:rsidRDefault="00E40B0D" w:rsidP="007A0D0F">
      <w:pPr>
        <w:spacing w:after="0" w:line="240" w:lineRule="auto"/>
      </w:pPr>
      <w:r>
        <w:separator/>
      </w:r>
    </w:p>
  </w:endnote>
  <w:endnote w:type="continuationSeparator" w:id="0">
    <w:p w14:paraId="14BE8B20" w14:textId="77777777" w:rsidR="00E40B0D" w:rsidRDefault="00E40B0D" w:rsidP="007A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080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EF6DD" w14:textId="4DA17F88" w:rsidR="007A0D0F" w:rsidRDefault="007A0D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6F3F6" w14:textId="77777777" w:rsidR="007A0D0F" w:rsidRDefault="007A0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9F43" w14:textId="77777777" w:rsidR="00E40B0D" w:rsidRDefault="00E40B0D" w:rsidP="007A0D0F">
      <w:pPr>
        <w:spacing w:after="0" w:line="240" w:lineRule="auto"/>
      </w:pPr>
      <w:r>
        <w:separator/>
      </w:r>
    </w:p>
  </w:footnote>
  <w:footnote w:type="continuationSeparator" w:id="0">
    <w:p w14:paraId="2C3374FC" w14:textId="77777777" w:rsidR="00E40B0D" w:rsidRDefault="00E40B0D" w:rsidP="007A0D0F">
      <w:pPr>
        <w:spacing w:after="0" w:line="240" w:lineRule="auto"/>
      </w:pPr>
      <w:r>
        <w:continuationSeparator/>
      </w:r>
    </w:p>
  </w:footnote>
  <w:footnote w:id="1">
    <w:p w14:paraId="5BE5DC1C" w14:textId="76D68741" w:rsidR="00186C86" w:rsidRDefault="00186C86">
      <w:pPr>
        <w:pStyle w:val="FootnoteText"/>
        <w:rPr>
          <w:rFonts w:ascii="Times New Roman" w:hAnsi="Times New Roman" w:cs="Times New Roman"/>
        </w:rPr>
      </w:pPr>
      <w:r w:rsidRPr="00CF5A06">
        <w:rPr>
          <w:rStyle w:val="FootnoteReference"/>
          <w:rFonts w:ascii="Times New Roman" w:hAnsi="Times New Roman" w:cs="Times New Roman"/>
        </w:rPr>
        <w:footnoteRef/>
      </w:r>
      <w:r w:rsidRPr="00CF5A06">
        <w:rPr>
          <w:rFonts w:ascii="Times New Roman" w:hAnsi="Times New Roman" w:cs="Times New Roman"/>
        </w:rPr>
        <w:t xml:space="preserve"> </w:t>
      </w:r>
      <w:r w:rsidR="00CF5A06">
        <w:rPr>
          <w:rFonts w:ascii="Times New Roman" w:hAnsi="Times New Roman" w:cs="Times New Roman"/>
        </w:rPr>
        <w:t xml:space="preserve">This document is for </w:t>
      </w:r>
      <w:r w:rsidR="00735F5F">
        <w:rPr>
          <w:rFonts w:ascii="Times New Roman" w:hAnsi="Times New Roman" w:cs="Times New Roman"/>
        </w:rPr>
        <w:t xml:space="preserve">general </w:t>
      </w:r>
      <w:r w:rsidR="00CF5A06">
        <w:rPr>
          <w:rFonts w:ascii="Times New Roman" w:hAnsi="Times New Roman" w:cs="Times New Roman"/>
        </w:rPr>
        <w:t>informational purposes only and does not constitute legal advice</w:t>
      </w:r>
      <w:r w:rsidR="00191727">
        <w:rPr>
          <w:rFonts w:ascii="Times New Roman" w:hAnsi="Times New Roman" w:cs="Times New Roman"/>
        </w:rPr>
        <w:t xml:space="preserve"> and should not be relied upon as such.</w:t>
      </w:r>
    </w:p>
    <w:p w14:paraId="6DB16067" w14:textId="77777777" w:rsidR="002E0778" w:rsidRPr="00CF5A06" w:rsidRDefault="002E0778">
      <w:pPr>
        <w:pStyle w:val="FootnoteText"/>
        <w:rPr>
          <w:rFonts w:ascii="Times New Roman" w:hAnsi="Times New Roman" w:cs="Times New Roman"/>
        </w:rPr>
      </w:pPr>
    </w:p>
  </w:footnote>
  <w:footnote w:id="2">
    <w:p w14:paraId="74701BFC" w14:textId="4F5BB2F9" w:rsidR="000F2A3C" w:rsidRPr="00D777E7" w:rsidRDefault="000F2A3C">
      <w:pPr>
        <w:pStyle w:val="FootnoteText"/>
        <w:rPr>
          <w:rFonts w:ascii="Times New Roman" w:hAnsi="Times New Roman" w:cs="Times New Roman"/>
        </w:rPr>
      </w:pPr>
      <w:r w:rsidRPr="00F00ECD">
        <w:rPr>
          <w:rStyle w:val="FootnoteReference"/>
          <w:rFonts w:ascii="Times New Roman" w:hAnsi="Times New Roman" w:cs="Times New Roman"/>
        </w:rPr>
        <w:footnoteRef/>
      </w:r>
      <w:r w:rsidRPr="00F00ECD">
        <w:rPr>
          <w:rFonts w:ascii="Times New Roman" w:hAnsi="Times New Roman" w:cs="Times New Roman"/>
        </w:rPr>
        <w:t xml:space="preserve"> </w:t>
      </w:r>
      <w:r w:rsidR="00AC007D" w:rsidRPr="00F00ECD">
        <w:rPr>
          <w:rFonts w:ascii="Times New Roman" w:hAnsi="Times New Roman" w:cs="Times New Roman"/>
        </w:rPr>
        <w:t xml:space="preserve">There is no Constitutional basis for such a reverse discrimination claim </w:t>
      </w:r>
      <w:r w:rsidR="00F00ECD" w:rsidRPr="00F00ECD">
        <w:rPr>
          <w:rFonts w:ascii="Times New Roman" w:hAnsi="Times New Roman" w:cs="Times New Roman"/>
        </w:rPr>
        <w:t>against a private sector employer either.</w:t>
      </w:r>
      <w:r w:rsidR="00306467">
        <w:rPr>
          <w:rFonts w:ascii="Times New Roman" w:hAnsi="Times New Roman" w:cs="Times New Roman"/>
        </w:rPr>
        <w:t xml:space="preserve"> </w:t>
      </w:r>
      <w:r w:rsidR="00306467">
        <w:rPr>
          <w:rFonts w:ascii="Times New Roman" w:hAnsi="Times New Roman" w:cs="Times New Roman"/>
          <w:i/>
          <w:iCs/>
        </w:rPr>
        <w:t xml:space="preserve">See </w:t>
      </w:r>
      <w:r w:rsidR="00D777E7">
        <w:rPr>
          <w:rFonts w:ascii="Times New Roman" w:hAnsi="Times New Roman" w:cs="Times New Roman"/>
        </w:rPr>
        <w:t xml:space="preserve">July 10, 2018, </w:t>
      </w:r>
      <w:hyperlink r:id="rId1" w:history="1">
        <w:r w:rsidR="00306467" w:rsidRPr="00D777E7">
          <w:rPr>
            <w:rStyle w:val="Hyperlink"/>
            <w:rFonts w:ascii="Times New Roman" w:hAnsi="Times New Roman" w:cs="Times New Roman"/>
          </w:rPr>
          <w:t>EEOC Informal Discussion Letter | U.S. Equal Employment Opportunity Commission</w:t>
        </w:r>
      </w:hyperlink>
      <w:r w:rsidR="00D777E7">
        <w:rPr>
          <w:rFonts w:ascii="Times New Roman" w:hAnsi="Times New Roman" w:cs="Times New Roman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A9F1" w14:textId="0939953F" w:rsidR="00254B77" w:rsidRPr="00222627" w:rsidRDefault="00222627">
    <w:pPr>
      <w:pStyle w:val="Header"/>
      <w:rPr>
        <w:rFonts w:ascii="Times New Roman" w:hAnsi="Times New Roman" w:cs="Times New Roman"/>
      </w:rPr>
    </w:pPr>
    <w:r w:rsidRPr="00222627">
      <w:rPr>
        <w:rFonts w:ascii="Times New Roman" w:hAnsi="Times New Roman" w:cs="Times New Roman"/>
      </w:rP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7008"/>
    <w:multiLevelType w:val="hybridMultilevel"/>
    <w:tmpl w:val="32F093D4"/>
    <w:lvl w:ilvl="0" w:tplc="452C02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7BAD"/>
    <w:multiLevelType w:val="hybridMultilevel"/>
    <w:tmpl w:val="B3704D58"/>
    <w:lvl w:ilvl="0" w:tplc="2CCABF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30A4B"/>
    <w:multiLevelType w:val="multilevel"/>
    <w:tmpl w:val="1216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A7FEE"/>
    <w:multiLevelType w:val="multilevel"/>
    <w:tmpl w:val="490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815CB6"/>
    <w:multiLevelType w:val="multilevel"/>
    <w:tmpl w:val="06A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BB1376"/>
    <w:multiLevelType w:val="multilevel"/>
    <w:tmpl w:val="8600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C5162"/>
    <w:multiLevelType w:val="multilevel"/>
    <w:tmpl w:val="CEC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187DE2"/>
    <w:multiLevelType w:val="hybridMultilevel"/>
    <w:tmpl w:val="ECFABBA6"/>
    <w:lvl w:ilvl="0" w:tplc="F6B88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D63D7"/>
    <w:multiLevelType w:val="multilevel"/>
    <w:tmpl w:val="D5C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8027672">
    <w:abstractNumId w:val="7"/>
  </w:num>
  <w:num w:numId="2" w16cid:durableId="723918376">
    <w:abstractNumId w:val="1"/>
  </w:num>
  <w:num w:numId="3" w16cid:durableId="2055932070">
    <w:abstractNumId w:val="5"/>
  </w:num>
  <w:num w:numId="4" w16cid:durableId="596671224">
    <w:abstractNumId w:val="6"/>
  </w:num>
  <w:num w:numId="5" w16cid:durableId="475488188">
    <w:abstractNumId w:val="2"/>
  </w:num>
  <w:num w:numId="6" w16cid:durableId="1390229272">
    <w:abstractNumId w:val="8"/>
  </w:num>
  <w:num w:numId="7" w16cid:durableId="1584295296">
    <w:abstractNumId w:val="3"/>
  </w:num>
  <w:num w:numId="8" w16cid:durableId="1030956826">
    <w:abstractNumId w:val="4"/>
  </w:num>
  <w:num w:numId="9" w16cid:durableId="7791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F1"/>
    <w:rsid w:val="00007FAF"/>
    <w:rsid w:val="0001162E"/>
    <w:rsid w:val="00024A06"/>
    <w:rsid w:val="00040E01"/>
    <w:rsid w:val="00041598"/>
    <w:rsid w:val="00041AFD"/>
    <w:rsid w:val="000628BF"/>
    <w:rsid w:val="00070FB4"/>
    <w:rsid w:val="0007500F"/>
    <w:rsid w:val="0008129E"/>
    <w:rsid w:val="000824F0"/>
    <w:rsid w:val="000900F8"/>
    <w:rsid w:val="00090E6E"/>
    <w:rsid w:val="00090FAA"/>
    <w:rsid w:val="00092900"/>
    <w:rsid w:val="00094128"/>
    <w:rsid w:val="000A33B5"/>
    <w:rsid w:val="000B0280"/>
    <w:rsid w:val="000D1C56"/>
    <w:rsid w:val="000E7F3F"/>
    <w:rsid w:val="000F2A3C"/>
    <w:rsid w:val="00101AAD"/>
    <w:rsid w:val="00103047"/>
    <w:rsid w:val="00105286"/>
    <w:rsid w:val="00131D62"/>
    <w:rsid w:val="00133168"/>
    <w:rsid w:val="001331C7"/>
    <w:rsid w:val="001443D4"/>
    <w:rsid w:val="0015328A"/>
    <w:rsid w:val="00162922"/>
    <w:rsid w:val="00172B42"/>
    <w:rsid w:val="001771F7"/>
    <w:rsid w:val="00185F38"/>
    <w:rsid w:val="00186C86"/>
    <w:rsid w:val="00186CB8"/>
    <w:rsid w:val="00191727"/>
    <w:rsid w:val="001A13A3"/>
    <w:rsid w:val="001A3C9B"/>
    <w:rsid w:val="001A40D8"/>
    <w:rsid w:val="001C0A35"/>
    <w:rsid w:val="001D2380"/>
    <w:rsid w:val="001F5B8A"/>
    <w:rsid w:val="00202071"/>
    <w:rsid w:val="002053BB"/>
    <w:rsid w:val="00222627"/>
    <w:rsid w:val="002475C7"/>
    <w:rsid w:val="00254B77"/>
    <w:rsid w:val="002557AA"/>
    <w:rsid w:val="00277E04"/>
    <w:rsid w:val="0028666A"/>
    <w:rsid w:val="0029750D"/>
    <w:rsid w:val="002C4F48"/>
    <w:rsid w:val="002E0778"/>
    <w:rsid w:val="002E4775"/>
    <w:rsid w:val="002F1C60"/>
    <w:rsid w:val="003008D4"/>
    <w:rsid w:val="003056D6"/>
    <w:rsid w:val="00306467"/>
    <w:rsid w:val="0030648E"/>
    <w:rsid w:val="00311BC5"/>
    <w:rsid w:val="00316519"/>
    <w:rsid w:val="00324C04"/>
    <w:rsid w:val="00333B60"/>
    <w:rsid w:val="00346E85"/>
    <w:rsid w:val="0035086C"/>
    <w:rsid w:val="003678A5"/>
    <w:rsid w:val="00367D9A"/>
    <w:rsid w:val="00375E7B"/>
    <w:rsid w:val="0037779E"/>
    <w:rsid w:val="00384F01"/>
    <w:rsid w:val="00384FE1"/>
    <w:rsid w:val="003A0528"/>
    <w:rsid w:val="003A357E"/>
    <w:rsid w:val="003A76BE"/>
    <w:rsid w:val="003C26FF"/>
    <w:rsid w:val="003D353F"/>
    <w:rsid w:val="003F0981"/>
    <w:rsid w:val="003F20D1"/>
    <w:rsid w:val="003F5669"/>
    <w:rsid w:val="004042CF"/>
    <w:rsid w:val="00422106"/>
    <w:rsid w:val="00436761"/>
    <w:rsid w:val="00451FA9"/>
    <w:rsid w:val="00453F52"/>
    <w:rsid w:val="0046353E"/>
    <w:rsid w:val="00465850"/>
    <w:rsid w:val="00486488"/>
    <w:rsid w:val="004A695C"/>
    <w:rsid w:val="004A6DE1"/>
    <w:rsid w:val="004C1C72"/>
    <w:rsid w:val="004C5F10"/>
    <w:rsid w:val="004C6DC7"/>
    <w:rsid w:val="004D3070"/>
    <w:rsid w:val="004D7EF0"/>
    <w:rsid w:val="004E5DC5"/>
    <w:rsid w:val="004E749F"/>
    <w:rsid w:val="00514877"/>
    <w:rsid w:val="00514C1E"/>
    <w:rsid w:val="00515430"/>
    <w:rsid w:val="00533B54"/>
    <w:rsid w:val="00534A27"/>
    <w:rsid w:val="005424E5"/>
    <w:rsid w:val="0054279B"/>
    <w:rsid w:val="005538CE"/>
    <w:rsid w:val="00554FEC"/>
    <w:rsid w:val="005611A1"/>
    <w:rsid w:val="00572704"/>
    <w:rsid w:val="00573E77"/>
    <w:rsid w:val="00575A4E"/>
    <w:rsid w:val="00585DD4"/>
    <w:rsid w:val="005A7F8C"/>
    <w:rsid w:val="005B1DEA"/>
    <w:rsid w:val="005C04B2"/>
    <w:rsid w:val="005C4573"/>
    <w:rsid w:val="005E78F0"/>
    <w:rsid w:val="0060412B"/>
    <w:rsid w:val="00604EC7"/>
    <w:rsid w:val="00623E9E"/>
    <w:rsid w:val="00633DC1"/>
    <w:rsid w:val="00634C9B"/>
    <w:rsid w:val="00637DBA"/>
    <w:rsid w:val="00662347"/>
    <w:rsid w:val="00664BF7"/>
    <w:rsid w:val="00667DD0"/>
    <w:rsid w:val="00670E14"/>
    <w:rsid w:val="006772FE"/>
    <w:rsid w:val="00683746"/>
    <w:rsid w:val="00691BB5"/>
    <w:rsid w:val="006C415C"/>
    <w:rsid w:val="006C780E"/>
    <w:rsid w:val="006D5B75"/>
    <w:rsid w:val="006E3500"/>
    <w:rsid w:val="007009A5"/>
    <w:rsid w:val="00702639"/>
    <w:rsid w:val="00707DF9"/>
    <w:rsid w:val="0071043B"/>
    <w:rsid w:val="007301F0"/>
    <w:rsid w:val="00730A10"/>
    <w:rsid w:val="00732E4B"/>
    <w:rsid w:val="00735F5F"/>
    <w:rsid w:val="007753FE"/>
    <w:rsid w:val="007768F7"/>
    <w:rsid w:val="00782705"/>
    <w:rsid w:val="00786CD3"/>
    <w:rsid w:val="007A0D0F"/>
    <w:rsid w:val="007A2148"/>
    <w:rsid w:val="007A2F9D"/>
    <w:rsid w:val="007C21BF"/>
    <w:rsid w:val="007C29CB"/>
    <w:rsid w:val="007C38DA"/>
    <w:rsid w:val="007D2D12"/>
    <w:rsid w:val="007D36F3"/>
    <w:rsid w:val="007E40CC"/>
    <w:rsid w:val="00815100"/>
    <w:rsid w:val="00816732"/>
    <w:rsid w:val="0081680E"/>
    <w:rsid w:val="008413BA"/>
    <w:rsid w:val="0084344C"/>
    <w:rsid w:val="00850F80"/>
    <w:rsid w:val="0085192E"/>
    <w:rsid w:val="008621DD"/>
    <w:rsid w:val="0086319A"/>
    <w:rsid w:val="00867C8D"/>
    <w:rsid w:val="00873FF4"/>
    <w:rsid w:val="0087613E"/>
    <w:rsid w:val="00876860"/>
    <w:rsid w:val="00881CAE"/>
    <w:rsid w:val="00895A75"/>
    <w:rsid w:val="00897442"/>
    <w:rsid w:val="008B0D4A"/>
    <w:rsid w:val="008B21F2"/>
    <w:rsid w:val="008C3030"/>
    <w:rsid w:val="008D59C0"/>
    <w:rsid w:val="009011DA"/>
    <w:rsid w:val="0090669C"/>
    <w:rsid w:val="009077EE"/>
    <w:rsid w:val="0091666F"/>
    <w:rsid w:val="0093362C"/>
    <w:rsid w:val="00933F67"/>
    <w:rsid w:val="00944E3B"/>
    <w:rsid w:val="0095760F"/>
    <w:rsid w:val="009A0617"/>
    <w:rsid w:val="009A69D8"/>
    <w:rsid w:val="009B0039"/>
    <w:rsid w:val="009C084E"/>
    <w:rsid w:val="009C7723"/>
    <w:rsid w:val="009D3D7D"/>
    <w:rsid w:val="00A40AC9"/>
    <w:rsid w:val="00A444FF"/>
    <w:rsid w:val="00A57407"/>
    <w:rsid w:val="00A6172F"/>
    <w:rsid w:val="00A65E64"/>
    <w:rsid w:val="00A9083E"/>
    <w:rsid w:val="00A923F6"/>
    <w:rsid w:val="00A971EC"/>
    <w:rsid w:val="00AA4D04"/>
    <w:rsid w:val="00AB62E4"/>
    <w:rsid w:val="00AC007D"/>
    <w:rsid w:val="00AD6ADD"/>
    <w:rsid w:val="00AE7CBE"/>
    <w:rsid w:val="00AF35AD"/>
    <w:rsid w:val="00B00CF3"/>
    <w:rsid w:val="00B01EED"/>
    <w:rsid w:val="00B060A1"/>
    <w:rsid w:val="00B3395C"/>
    <w:rsid w:val="00B4791B"/>
    <w:rsid w:val="00B621F8"/>
    <w:rsid w:val="00B67FF9"/>
    <w:rsid w:val="00B71C6F"/>
    <w:rsid w:val="00B9699E"/>
    <w:rsid w:val="00B97027"/>
    <w:rsid w:val="00BA21DA"/>
    <w:rsid w:val="00BA43C6"/>
    <w:rsid w:val="00BD2D8A"/>
    <w:rsid w:val="00BD5CF7"/>
    <w:rsid w:val="00BD68BD"/>
    <w:rsid w:val="00BF50C1"/>
    <w:rsid w:val="00C055E3"/>
    <w:rsid w:val="00C17F54"/>
    <w:rsid w:val="00C20C75"/>
    <w:rsid w:val="00C24FED"/>
    <w:rsid w:val="00C25F96"/>
    <w:rsid w:val="00C342BD"/>
    <w:rsid w:val="00C56A11"/>
    <w:rsid w:val="00C6514C"/>
    <w:rsid w:val="00C708E8"/>
    <w:rsid w:val="00C8535A"/>
    <w:rsid w:val="00CA11B0"/>
    <w:rsid w:val="00CA4C24"/>
    <w:rsid w:val="00CB1139"/>
    <w:rsid w:val="00CB20F8"/>
    <w:rsid w:val="00CB4D44"/>
    <w:rsid w:val="00CB7A8E"/>
    <w:rsid w:val="00CC28C1"/>
    <w:rsid w:val="00CD6D38"/>
    <w:rsid w:val="00CF5A06"/>
    <w:rsid w:val="00D12D38"/>
    <w:rsid w:val="00D16344"/>
    <w:rsid w:val="00D20C2A"/>
    <w:rsid w:val="00D225EB"/>
    <w:rsid w:val="00D413F1"/>
    <w:rsid w:val="00D777E7"/>
    <w:rsid w:val="00D97677"/>
    <w:rsid w:val="00DA6B5C"/>
    <w:rsid w:val="00DD77FD"/>
    <w:rsid w:val="00DF5185"/>
    <w:rsid w:val="00E00D80"/>
    <w:rsid w:val="00E06594"/>
    <w:rsid w:val="00E10A13"/>
    <w:rsid w:val="00E1268E"/>
    <w:rsid w:val="00E33BD4"/>
    <w:rsid w:val="00E355E3"/>
    <w:rsid w:val="00E36B62"/>
    <w:rsid w:val="00E40B0D"/>
    <w:rsid w:val="00E4691E"/>
    <w:rsid w:val="00E56652"/>
    <w:rsid w:val="00E677C8"/>
    <w:rsid w:val="00E82322"/>
    <w:rsid w:val="00E85F7C"/>
    <w:rsid w:val="00E86D52"/>
    <w:rsid w:val="00E962F2"/>
    <w:rsid w:val="00EA05F1"/>
    <w:rsid w:val="00EA6C21"/>
    <w:rsid w:val="00EC26C4"/>
    <w:rsid w:val="00F00ECD"/>
    <w:rsid w:val="00F0297A"/>
    <w:rsid w:val="00F249B0"/>
    <w:rsid w:val="00F33626"/>
    <w:rsid w:val="00F53422"/>
    <w:rsid w:val="00F5741E"/>
    <w:rsid w:val="00F61D65"/>
    <w:rsid w:val="00F6433B"/>
    <w:rsid w:val="00F64D0B"/>
    <w:rsid w:val="00F67F2E"/>
    <w:rsid w:val="00F735B7"/>
    <w:rsid w:val="00F906E6"/>
    <w:rsid w:val="00FA76DF"/>
    <w:rsid w:val="00FB6221"/>
    <w:rsid w:val="00FD4A74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E9DA"/>
  <w15:chartTrackingRefBased/>
  <w15:docId w15:val="{BE6A6155-004D-4487-8AF7-10AACDAF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5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5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5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0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0F"/>
  </w:style>
  <w:style w:type="paragraph" w:styleId="Footer">
    <w:name w:val="footer"/>
    <w:basedOn w:val="Normal"/>
    <w:link w:val="FooterChar"/>
    <w:uiPriority w:val="99"/>
    <w:unhideWhenUsed/>
    <w:rsid w:val="007A0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0F"/>
  </w:style>
  <w:style w:type="paragraph" w:styleId="FootnoteText">
    <w:name w:val="footnote text"/>
    <w:basedOn w:val="Normal"/>
    <w:link w:val="FootnoteTextChar"/>
    <w:uiPriority w:val="99"/>
    <w:semiHidden/>
    <w:unhideWhenUsed/>
    <w:rsid w:val="005A7F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F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16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407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528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820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85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65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84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465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8265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145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822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590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44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331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869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906">
          <w:blockQuote w:val="1"/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eoc.gov/foia/eeoc-informal-discussion-letter-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5EAF-95DC-4203-88E9-E66300BE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Kleiman</dc:creator>
  <cp:keywords/>
  <dc:description/>
  <cp:lastModifiedBy>Mary Ellen Kleiman</cp:lastModifiedBy>
  <cp:revision>2</cp:revision>
  <cp:lastPrinted>2025-01-28T22:34:00Z</cp:lastPrinted>
  <dcterms:created xsi:type="dcterms:W3CDTF">2025-01-29T23:05:00Z</dcterms:created>
  <dcterms:modified xsi:type="dcterms:W3CDTF">2025-01-29T23:05:00Z</dcterms:modified>
</cp:coreProperties>
</file>